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68AF" w:rsidRPr="001B68AF" w:rsidRDefault="001B68AF" w:rsidP="001B68AF">
      <w:pPr>
        <w:widowControl/>
        <w:shd w:val="clear" w:color="auto" w:fill="FFFFFF"/>
        <w:spacing w:after="210" w:line="600" w:lineRule="atLeast"/>
        <w:jc w:val="center"/>
        <w:outlineLvl w:val="2"/>
        <w:rPr>
          <w:rFonts w:ascii="微软雅黑" w:eastAsia="微软雅黑" w:hAnsi="微软雅黑" w:cs="宋体"/>
          <w:b/>
          <w:bCs/>
          <w:color w:val="333333"/>
          <w:kern w:val="0"/>
          <w:sz w:val="39"/>
          <w:szCs w:val="39"/>
        </w:rPr>
      </w:pPr>
      <w:r w:rsidRPr="001B68AF">
        <w:rPr>
          <w:rFonts w:ascii="微软雅黑" w:eastAsia="微软雅黑" w:hAnsi="微软雅黑" w:cs="宋体" w:hint="eastAsia"/>
          <w:b/>
          <w:bCs/>
          <w:color w:val="333333"/>
          <w:kern w:val="0"/>
          <w:sz w:val="39"/>
          <w:szCs w:val="39"/>
        </w:rPr>
        <w:t>福建省人力资源和社会保障厅 福建省教育厅 福建省财政厅关于公布福建省第二批开展补贴性免费培训学校有关事项的通知</w:t>
      </w:r>
    </w:p>
    <w:p w:rsidR="001B68AF" w:rsidRPr="00D2364F" w:rsidRDefault="001B68AF" w:rsidP="001B68AF">
      <w:pPr>
        <w:widowControl/>
        <w:shd w:val="clear" w:color="auto" w:fill="FFFFFF"/>
        <w:jc w:val="center"/>
        <w:rPr>
          <w:rFonts w:ascii="微软雅黑" w:eastAsia="微软雅黑" w:hAnsi="微软雅黑" w:cs="宋体"/>
          <w:color w:val="999999"/>
          <w:kern w:val="0"/>
          <w:sz w:val="18"/>
          <w:szCs w:val="18"/>
        </w:rPr>
      </w:pPr>
      <w:r w:rsidRPr="001B68AF">
        <w:rPr>
          <w:rFonts w:ascii="微软雅黑" w:eastAsia="微软雅黑" w:hAnsi="微软雅黑" w:cs="宋体" w:hint="eastAsia"/>
          <w:color w:val="999999"/>
          <w:kern w:val="0"/>
          <w:sz w:val="18"/>
          <w:szCs w:val="18"/>
        </w:rPr>
        <w:t xml:space="preserve">来源： 福建省人力资源和社会保障厅           文号：闽人社文〔2020〕138号        　 </w:t>
      </w:r>
    </w:p>
    <w:p w:rsidR="001B68AF" w:rsidRPr="001B68AF" w:rsidRDefault="001B68AF" w:rsidP="001B68AF">
      <w:pPr>
        <w:widowControl/>
        <w:shd w:val="clear" w:color="auto" w:fill="FFFFFF"/>
        <w:wordWrap w:val="0"/>
        <w:spacing w:line="480" w:lineRule="auto"/>
        <w:jc w:val="left"/>
        <w:rPr>
          <w:rFonts w:ascii="微软雅黑" w:eastAsia="微软雅黑" w:hAnsi="微软雅黑" w:cs="宋体"/>
          <w:color w:val="333333"/>
          <w:kern w:val="0"/>
          <w:sz w:val="24"/>
        </w:rPr>
      </w:pPr>
      <w:r w:rsidRPr="001B68AF">
        <w:rPr>
          <w:rFonts w:ascii="微软雅黑" w:eastAsia="微软雅黑" w:hAnsi="微软雅黑" w:cs="宋体" w:hint="eastAsia"/>
          <w:color w:val="333333"/>
          <w:kern w:val="0"/>
          <w:sz w:val="24"/>
        </w:rPr>
        <w:t>各设区市人力资源和社会保障局、教育局、财政局，平潭综合实验区党群工作部、教育局、财政金融局，各有关职业院校、技工院校：</w:t>
      </w:r>
    </w:p>
    <w:p w:rsidR="001B68AF" w:rsidRPr="001B68AF" w:rsidRDefault="001B68AF" w:rsidP="001B68AF">
      <w:pPr>
        <w:widowControl/>
        <w:shd w:val="clear" w:color="auto" w:fill="FFFFFF"/>
        <w:wordWrap w:val="0"/>
        <w:spacing w:before="225" w:line="480" w:lineRule="auto"/>
        <w:jc w:val="left"/>
        <w:rPr>
          <w:rFonts w:ascii="微软雅黑" w:eastAsia="微软雅黑" w:hAnsi="微软雅黑" w:cs="宋体"/>
          <w:color w:val="333333"/>
          <w:kern w:val="0"/>
          <w:sz w:val="24"/>
        </w:rPr>
      </w:pPr>
      <w:r w:rsidRPr="001B68AF">
        <w:rPr>
          <w:rFonts w:ascii="微软雅黑" w:eastAsia="微软雅黑" w:hAnsi="微软雅黑" w:cs="宋体" w:hint="eastAsia"/>
          <w:color w:val="333333"/>
          <w:kern w:val="0"/>
          <w:sz w:val="24"/>
        </w:rPr>
        <w:t xml:space="preserve">　　为贯彻落实《福建省人民政府办公厅关于印发福建省职业技能提升行动实施方案（2019-2021）的通知》（闽政办〔2019〕42号）和《福建省人力资源和社会保障厅 福建省财政厅关于做好职业技能提升行动专账资金使用管理工作的通知》（闽人社文〔2020〕25号）精神，进一步推动职业技能提升行动深入开展，支持职业院校、技工院校等承担补贴性培训，扩大面向职工、就业重点群体和贫困劳动力的培训规模，经研究，决定将福建船政交通职业学院等22家学校纳入福建省第二批开展补贴性免费培训学校名单（见附件1）。现就有关事项通知如下：</w:t>
      </w:r>
    </w:p>
    <w:p w:rsidR="001B68AF" w:rsidRPr="001B68AF" w:rsidRDefault="001B68AF" w:rsidP="001B68AF">
      <w:pPr>
        <w:widowControl/>
        <w:shd w:val="clear" w:color="auto" w:fill="FFFFFF"/>
        <w:wordWrap w:val="0"/>
        <w:spacing w:before="225" w:line="480" w:lineRule="auto"/>
        <w:jc w:val="left"/>
        <w:rPr>
          <w:rFonts w:ascii="微软雅黑" w:eastAsia="微软雅黑" w:hAnsi="微软雅黑" w:cs="宋体"/>
          <w:color w:val="333333"/>
          <w:kern w:val="0"/>
          <w:sz w:val="24"/>
        </w:rPr>
      </w:pPr>
      <w:r w:rsidRPr="001B68AF">
        <w:rPr>
          <w:rFonts w:ascii="微软雅黑" w:eastAsia="微软雅黑" w:hAnsi="微软雅黑" w:cs="宋体" w:hint="eastAsia"/>
          <w:color w:val="333333"/>
          <w:kern w:val="0"/>
          <w:sz w:val="24"/>
        </w:rPr>
        <w:t xml:space="preserve">　　一、支持有关院校承担补贴性免费职业技能培训相关工作。第二批开展补贴性免费培训学校按照项目制方式，对贫困家庭子女、贫困劳动力、城乡未继续升学初高中毕业生（两后生）、农村转移就业劳动者、下岗失业人员和转岗职工、退役军人、残疾人、去产能职工、 贫困村创业致富带头人、离校2年内未就业高校毕业生（含技师学院）（以下简称“十类人员”）开展免费就业技能培训和创业培训。具体工作按《福建省人力资源和社会保障厅 福建省财政厅关于开展</w:t>
      </w:r>
      <w:r w:rsidRPr="001B68AF">
        <w:rPr>
          <w:rFonts w:ascii="微软雅黑" w:eastAsia="微软雅黑" w:hAnsi="微软雅黑" w:cs="宋体" w:hint="eastAsia"/>
          <w:color w:val="333333"/>
          <w:kern w:val="0"/>
          <w:sz w:val="24"/>
        </w:rPr>
        <w:lastRenderedPageBreak/>
        <w:t>免费职业技能培训相关工作的通知》（闽人社文〔2019〕223号）有关规定执行。</w:t>
      </w:r>
    </w:p>
    <w:p w:rsidR="001B68AF" w:rsidRPr="001B68AF" w:rsidRDefault="001B68AF" w:rsidP="001B68AF">
      <w:pPr>
        <w:widowControl/>
        <w:shd w:val="clear" w:color="auto" w:fill="FFFFFF"/>
        <w:wordWrap w:val="0"/>
        <w:spacing w:before="225" w:line="480" w:lineRule="auto"/>
        <w:jc w:val="left"/>
        <w:rPr>
          <w:rFonts w:ascii="微软雅黑" w:eastAsia="微软雅黑" w:hAnsi="微软雅黑" w:cs="宋体"/>
          <w:color w:val="333333"/>
          <w:kern w:val="0"/>
          <w:sz w:val="24"/>
        </w:rPr>
      </w:pPr>
      <w:r w:rsidRPr="001B68AF">
        <w:rPr>
          <w:rFonts w:ascii="微软雅黑" w:eastAsia="微软雅黑" w:hAnsi="微软雅黑" w:cs="宋体" w:hint="eastAsia"/>
          <w:color w:val="333333"/>
          <w:kern w:val="0"/>
          <w:sz w:val="24"/>
        </w:rPr>
        <w:t xml:space="preserve">　　二、第二批开展补贴性免费培训学校，按照属地管理原则，纳入学校所在地人社、财政部门进行管理。各有关院校要主动对接当地人社、财政部门，具体工作按当地有关规定执行。</w:t>
      </w:r>
    </w:p>
    <w:p w:rsidR="001B68AF" w:rsidRPr="001B68AF" w:rsidRDefault="001B68AF" w:rsidP="001B68AF">
      <w:pPr>
        <w:widowControl/>
        <w:shd w:val="clear" w:color="auto" w:fill="FFFFFF"/>
        <w:wordWrap w:val="0"/>
        <w:spacing w:before="225" w:line="480" w:lineRule="auto"/>
        <w:jc w:val="left"/>
        <w:rPr>
          <w:rFonts w:ascii="微软雅黑" w:eastAsia="微软雅黑" w:hAnsi="微软雅黑" w:cs="宋体"/>
          <w:color w:val="333333"/>
          <w:kern w:val="0"/>
          <w:sz w:val="24"/>
        </w:rPr>
      </w:pPr>
      <w:r w:rsidRPr="001B68AF">
        <w:rPr>
          <w:rFonts w:ascii="微软雅黑" w:eastAsia="微软雅黑" w:hAnsi="微软雅黑" w:cs="宋体" w:hint="eastAsia"/>
          <w:color w:val="333333"/>
          <w:kern w:val="0"/>
          <w:sz w:val="24"/>
        </w:rPr>
        <w:t xml:space="preserve">　　三、第二批开展补贴性免费培训学校，按照《关于做好职业技能提升行动专账资金使用管理工作的通知》（闽人社文〔2020〕25号）规定的补贴标准，按属地管理原则，向当地人社、财政部门据实申请职业培训补贴；或由各设区市一次性预拨不超过500万元资金支持，所需资金从职业技能提升专账资金中支出，所拨资金2021年底进行结算，多还少补。</w:t>
      </w:r>
    </w:p>
    <w:p w:rsidR="001B68AF" w:rsidRPr="001B68AF" w:rsidRDefault="001B68AF" w:rsidP="001B68AF">
      <w:pPr>
        <w:widowControl/>
        <w:shd w:val="clear" w:color="auto" w:fill="FFFFFF"/>
        <w:wordWrap w:val="0"/>
        <w:spacing w:before="225" w:line="480" w:lineRule="auto"/>
        <w:jc w:val="left"/>
        <w:rPr>
          <w:rFonts w:ascii="微软雅黑" w:eastAsia="微软雅黑" w:hAnsi="微软雅黑" w:cs="宋体"/>
          <w:color w:val="333333"/>
          <w:kern w:val="0"/>
          <w:sz w:val="24"/>
        </w:rPr>
      </w:pPr>
      <w:r w:rsidRPr="001B68AF">
        <w:rPr>
          <w:rFonts w:ascii="微软雅黑" w:eastAsia="微软雅黑" w:hAnsi="微软雅黑" w:cs="宋体" w:hint="eastAsia"/>
          <w:color w:val="333333"/>
          <w:kern w:val="0"/>
          <w:sz w:val="24"/>
        </w:rPr>
        <w:t xml:space="preserve">　　四、资金使用。补贴资金可用于免费培训相关开支。在扣除培训直接成本后，可将剩余不超过30%的培训收入纳入公用经费，不超过70%的培训收入用于绩效工资的发放（地市已制定标准的，市属院校按所在地市标准执行）。从培训收入中提取用于绩效工资发放的资金如有结余，可据实申请核增绩效工资总量。学校在内部分配时，应向承担职业技能培训工作的一线教师倾斜。</w:t>
      </w:r>
    </w:p>
    <w:p w:rsidR="001B68AF" w:rsidRPr="001B68AF" w:rsidRDefault="001B68AF" w:rsidP="001B68AF">
      <w:pPr>
        <w:widowControl/>
        <w:shd w:val="clear" w:color="auto" w:fill="FFFFFF"/>
        <w:wordWrap w:val="0"/>
        <w:spacing w:before="225" w:line="480" w:lineRule="auto"/>
        <w:jc w:val="left"/>
        <w:rPr>
          <w:rFonts w:ascii="微软雅黑" w:eastAsia="微软雅黑" w:hAnsi="微软雅黑" w:cs="宋体"/>
          <w:color w:val="333333"/>
          <w:kern w:val="0"/>
          <w:sz w:val="24"/>
        </w:rPr>
      </w:pPr>
      <w:r w:rsidRPr="001B68AF">
        <w:rPr>
          <w:rFonts w:ascii="微软雅黑" w:eastAsia="微软雅黑" w:hAnsi="微软雅黑" w:cs="宋体" w:hint="eastAsia"/>
          <w:color w:val="333333"/>
          <w:kern w:val="0"/>
          <w:sz w:val="24"/>
        </w:rPr>
        <w:t xml:space="preserve">　　《福建省人力资源和社会保障厅 福建省财政厅关于开展免费职业技能培训相关工作的通知》（闽人社文〔2019〕223号）公布的第一批12家开展补贴性免费培训学校参照执行。</w:t>
      </w:r>
    </w:p>
    <w:p w:rsidR="001B68AF" w:rsidRPr="001B68AF" w:rsidRDefault="001B68AF" w:rsidP="001B68AF">
      <w:pPr>
        <w:widowControl/>
        <w:shd w:val="clear" w:color="auto" w:fill="FFFFFF"/>
        <w:wordWrap w:val="0"/>
        <w:spacing w:before="225" w:line="480" w:lineRule="auto"/>
        <w:jc w:val="left"/>
        <w:rPr>
          <w:rFonts w:ascii="微软雅黑" w:eastAsia="微软雅黑" w:hAnsi="微软雅黑" w:cs="宋体"/>
          <w:color w:val="333333"/>
          <w:kern w:val="0"/>
          <w:sz w:val="24"/>
        </w:rPr>
      </w:pPr>
      <w:r w:rsidRPr="001B68AF">
        <w:rPr>
          <w:rFonts w:ascii="微软雅黑" w:eastAsia="微软雅黑" w:hAnsi="微软雅黑" w:cs="宋体" w:hint="eastAsia"/>
          <w:color w:val="333333"/>
          <w:kern w:val="0"/>
          <w:sz w:val="24"/>
        </w:rPr>
        <w:t xml:space="preserve">　　五、第二批开展补贴性免费培训学校纳入“福建省补贴性职业培训管理平台”统一管理。登录地址：ttps://zypx.fjrst.cn。</w:t>
      </w:r>
    </w:p>
    <w:p w:rsidR="001B68AF" w:rsidRPr="001B68AF" w:rsidRDefault="001B68AF" w:rsidP="001B68AF">
      <w:pPr>
        <w:widowControl/>
        <w:shd w:val="clear" w:color="auto" w:fill="FFFFFF"/>
        <w:wordWrap w:val="0"/>
        <w:spacing w:before="225" w:line="480" w:lineRule="auto"/>
        <w:jc w:val="left"/>
        <w:rPr>
          <w:rFonts w:ascii="微软雅黑" w:eastAsia="微软雅黑" w:hAnsi="微软雅黑" w:cs="宋体"/>
          <w:color w:val="333333"/>
          <w:kern w:val="0"/>
          <w:sz w:val="24"/>
        </w:rPr>
      </w:pPr>
      <w:r w:rsidRPr="001B68AF">
        <w:rPr>
          <w:rFonts w:ascii="微软雅黑" w:eastAsia="微软雅黑" w:hAnsi="微软雅黑" w:cs="宋体" w:hint="eastAsia"/>
          <w:color w:val="333333"/>
          <w:kern w:val="0"/>
          <w:sz w:val="24"/>
        </w:rPr>
        <w:lastRenderedPageBreak/>
        <w:t xml:space="preserve">　　本通知执行时间自印发之日起至2021年12月31日止。</w:t>
      </w:r>
    </w:p>
    <w:p w:rsidR="001B68AF" w:rsidRPr="001B68AF" w:rsidRDefault="001B68AF" w:rsidP="001B68AF">
      <w:pPr>
        <w:widowControl/>
        <w:shd w:val="clear" w:color="auto" w:fill="FFFFFF"/>
        <w:wordWrap w:val="0"/>
        <w:spacing w:before="225" w:line="480" w:lineRule="auto"/>
        <w:jc w:val="left"/>
        <w:rPr>
          <w:rFonts w:ascii="微软雅黑" w:eastAsia="微软雅黑" w:hAnsi="微软雅黑" w:cs="宋体"/>
          <w:color w:val="333333"/>
          <w:kern w:val="0"/>
          <w:sz w:val="24"/>
        </w:rPr>
      </w:pPr>
      <w:r w:rsidRPr="001B68AF">
        <w:rPr>
          <w:rFonts w:ascii="微软雅黑" w:eastAsia="微软雅黑" w:hAnsi="微软雅黑" w:cs="宋体" w:hint="eastAsia"/>
          <w:color w:val="333333"/>
          <w:kern w:val="0"/>
          <w:sz w:val="24"/>
        </w:rPr>
        <w:t xml:space="preserve">　　附件：福建省开展补贴性免费培训学校名单（第二批）</w:t>
      </w:r>
    </w:p>
    <w:p w:rsidR="001B68AF" w:rsidRPr="001B68AF" w:rsidRDefault="001B68AF" w:rsidP="001B68AF">
      <w:pPr>
        <w:widowControl/>
        <w:shd w:val="clear" w:color="auto" w:fill="FFFFFF"/>
        <w:wordWrap w:val="0"/>
        <w:spacing w:before="225" w:line="480" w:lineRule="auto"/>
        <w:jc w:val="right"/>
        <w:rPr>
          <w:rFonts w:ascii="微软雅黑" w:eastAsia="微软雅黑" w:hAnsi="微软雅黑" w:cs="宋体"/>
          <w:color w:val="333333"/>
          <w:kern w:val="0"/>
          <w:sz w:val="24"/>
        </w:rPr>
      </w:pPr>
      <w:r w:rsidRPr="001B68AF">
        <w:rPr>
          <w:rFonts w:ascii="微软雅黑" w:eastAsia="微软雅黑" w:hAnsi="微软雅黑" w:cs="宋体" w:hint="eastAsia"/>
          <w:color w:val="333333"/>
          <w:kern w:val="0"/>
          <w:sz w:val="24"/>
        </w:rPr>
        <w:t xml:space="preserve">　　福建省人力资源和社会保障厅</w:t>
      </w:r>
    </w:p>
    <w:p w:rsidR="001B68AF" w:rsidRPr="001B68AF" w:rsidRDefault="001B68AF" w:rsidP="001B68AF">
      <w:pPr>
        <w:widowControl/>
        <w:shd w:val="clear" w:color="auto" w:fill="FFFFFF"/>
        <w:wordWrap w:val="0"/>
        <w:spacing w:before="225" w:line="480" w:lineRule="auto"/>
        <w:jc w:val="right"/>
        <w:rPr>
          <w:rFonts w:ascii="微软雅黑" w:eastAsia="微软雅黑" w:hAnsi="微软雅黑" w:cs="宋体"/>
          <w:color w:val="333333"/>
          <w:kern w:val="0"/>
          <w:sz w:val="24"/>
        </w:rPr>
      </w:pPr>
      <w:r w:rsidRPr="001B68AF">
        <w:rPr>
          <w:rFonts w:ascii="微软雅黑" w:eastAsia="微软雅黑" w:hAnsi="微软雅黑" w:cs="宋体" w:hint="eastAsia"/>
          <w:color w:val="333333"/>
          <w:kern w:val="0"/>
          <w:sz w:val="24"/>
        </w:rPr>
        <w:t>福建省教育厅</w:t>
      </w:r>
    </w:p>
    <w:p w:rsidR="001B68AF" w:rsidRPr="001B68AF" w:rsidRDefault="001B68AF" w:rsidP="001B68AF">
      <w:pPr>
        <w:widowControl/>
        <w:shd w:val="clear" w:color="auto" w:fill="FFFFFF"/>
        <w:wordWrap w:val="0"/>
        <w:spacing w:before="225" w:line="480" w:lineRule="auto"/>
        <w:jc w:val="right"/>
        <w:rPr>
          <w:rFonts w:ascii="微软雅黑" w:eastAsia="微软雅黑" w:hAnsi="微软雅黑" w:cs="宋体"/>
          <w:color w:val="333333"/>
          <w:kern w:val="0"/>
          <w:sz w:val="24"/>
        </w:rPr>
      </w:pPr>
      <w:r w:rsidRPr="001B68AF">
        <w:rPr>
          <w:rFonts w:ascii="微软雅黑" w:eastAsia="微软雅黑" w:hAnsi="微软雅黑" w:cs="宋体" w:hint="eastAsia"/>
          <w:color w:val="333333"/>
          <w:kern w:val="0"/>
          <w:sz w:val="24"/>
        </w:rPr>
        <w:t xml:space="preserve">　　福建省财政厅</w:t>
      </w:r>
    </w:p>
    <w:p w:rsidR="001B68AF" w:rsidRPr="001B68AF" w:rsidRDefault="001B68AF" w:rsidP="001B68AF">
      <w:pPr>
        <w:widowControl/>
        <w:shd w:val="clear" w:color="auto" w:fill="FFFFFF"/>
        <w:wordWrap w:val="0"/>
        <w:spacing w:before="225" w:line="480" w:lineRule="auto"/>
        <w:jc w:val="right"/>
        <w:rPr>
          <w:rFonts w:ascii="微软雅黑" w:eastAsia="微软雅黑" w:hAnsi="微软雅黑" w:cs="宋体"/>
          <w:color w:val="333333"/>
          <w:kern w:val="0"/>
          <w:sz w:val="24"/>
        </w:rPr>
      </w:pPr>
      <w:r w:rsidRPr="001B68AF">
        <w:rPr>
          <w:rFonts w:ascii="微软雅黑" w:eastAsia="微软雅黑" w:hAnsi="微软雅黑" w:cs="宋体" w:hint="eastAsia"/>
          <w:color w:val="333333"/>
          <w:kern w:val="0"/>
          <w:sz w:val="24"/>
        </w:rPr>
        <w:t xml:space="preserve">　　2020年11月2日</w:t>
      </w:r>
    </w:p>
    <w:p w:rsidR="001B68AF" w:rsidRDefault="001B68AF">
      <w:pPr>
        <w:spacing w:line="540" w:lineRule="exact"/>
        <w:rPr>
          <w:rFonts w:ascii="黑体" w:eastAsia="黑体" w:hAnsi="黑体" w:cs="黑体"/>
          <w:szCs w:val="32"/>
        </w:rPr>
      </w:pPr>
    </w:p>
    <w:p w:rsidR="001B68AF" w:rsidRDefault="001B68AF">
      <w:pPr>
        <w:spacing w:line="540" w:lineRule="exact"/>
        <w:rPr>
          <w:rFonts w:ascii="黑体" w:eastAsia="黑体" w:hAnsi="黑体" w:cs="黑体"/>
          <w:szCs w:val="32"/>
        </w:rPr>
      </w:pPr>
    </w:p>
    <w:p w:rsidR="001B68AF" w:rsidRDefault="001B68AF">
      <w:pPr>
        <w:spacing w:line="540" w:lineRule="exact"/>
        <w:rPr>
          <w:rFonts w:ascii="黑体" w:eastAsia="黑体" w:hAnsi="黑体" w:cs="黑体"/>
          <w:szCs w:val="32"/>
        </w:rPr>
      </w:pPr>
    </w:p>
    <w:p w:rsidR="001B68AF" w:rsidRDefault="001B68AF">
      <w:pPr>
        <w:spacing w:line="540" w:lineRule="exact"/>
        <w:rPr>
          <w:rFonts w:ascii="黑体" w:eastAsia="黑体" w:hAnsi="黑体" w:cs="黑体"/>
          <w:szCs w:val="32"/>
        </w:rPr>
      </w:pPr>
    </w:p>
    <w:p w:rsidR="001B68AF" w:rsidRDefault="001B68AF">
      <w:pPr>
        <w:spacing w:line="540" w:lineRule="exact"/>
        <w:rPr>
          <w:rFonts w:ascii="黑体" w:eastAsia="黑体" w:hAnsi="黑体" w:cs="黑体"/>
          <w:szCs w:val="32"/>
        </w:rPr>
      </w:pPr>
    </w:p>
    <w:p w:rsidR="001B68AF" w:rsidRDefault="001B68AF">
      <w:pPr>
        <w:spacing w:line="540" w:lineRule="exact"/>
        <w:rPr>
          <w:rFonts w:ascii="黑体" w:eastAsia="黑体" w:hAnsi="黑体" w:cs="黑体"/>
          <w:szCs w:val="32"/>
        </w:rPr>
      </w:pPr>
    </w:p>
    <w:p w:rsidR="001B68AF" w:rsidRDefault="001B68AF">
      <w:pPr>
        <w:spacing w:line="540" w:lineRule="exact"/>
        <w:rPr>
          <w:rFonts w:ascii="黑体" w:eastAsia="黑体" w:hAnsi="黑体" w:cs="黑体"/>
          <w:szCs w:val="32"/>
        </w:rPr>
      </w:pPr>
    </w:p>
    <w:p w:rsidR="001B68AF" w:rsidRDefault="001B68AF">
      <w:pPr>
        <w:spacing w:line="540" w:lineRule="exact"/>
        <w:rPr>
          <w:rFonts w:ascii="黑体" w:eastAsia="黑体" w:hAnsi="黑体" w:cs="黑体"/>
          <w:szCs w:val="32"/>
        </w:rPr>
      </w:pPr>
    </w:p>
    <w:p w:rsidR="001B68AF" w:rsidRDefault="001B68AF">
      <w:pPr>
        <w:spacing w:line="540" w:lineRule="exact"/>
        <w:rPr>
          <w:rFonts w:ascii="黑体" w:eastAsia="黑体" w:hAnsi="黑体" w:cs="黑体"/>
          <w:szCs w:val="32"/>
        </w:rPr>
      </w:pPr>
    </w:p>
    <w:p w:rsidR="001B68AF" w:rsidRDefault="001B68AF">
      <w:pPr>
        <w:spacing w:line="540" w:lineRule="exact"/>
        <w:rPr>
          <w:rFonts w:ascii="黑体" w:eastAsia="黑体" w:hAnsi="黑体" w:cs="黑体"/>
          <w:szCs w:val="32"/>
        </w:rPr>
      </w:pPr>
    </w:p>
    <w:p w:rsidR="001B68AF" w:rsidRDefault="001B68AF">
      <w:pPr>
        <w:spacing w:line="540" w:lineRule="exact"/>
        <w:rPr>
          <w:rFonts w:ascii="黑体" w:eastAsia="黑体" w:hAnsi="黑体" w:cs="黑体"/>
          <w:szCs w:val="32"/>
        </w:rPr>
      </w:pPr>
    </w:p>
    <w:p w:rsidR="001B68AF" w:rsidRDefault="001B68AF">
      <w:pPr>
        <w:spacing w:line="540" w:lineRule="exact"/>
        <w:rPr>
          <w:rFonts w:ascii="黑体" w:eastAsia="黑体" w:hAnsi="黑体" w:cs="黑体"/>
          <w:szCs w:val="32"/>
        </w:rPr>
      </w:pPr>
    </w:p>
    <w:p w:rsidR="001B68AF" w:rsidRDefault="001B68AF">
      <w:pPr>
        <w:spacing w:line="540" w:lineRule="exact"/>
        <w:rPr>
          <w:rFonts w:ascii="黑体" w:eastAsia="黑体" w:hAnsi="黑体" w:cs="黑体"/>
          <w:szCs w:val="32"/>
        </w:rPr>
      </w:pPr>
    </w:p>
    <w:p w:rsidR="001B68AF" w:rsidRDefault="001B68AF">
      <w:pPr>
        <w:spacing w:line="540" w:lineRule="exact"/>
        <w:rPr>
          <w:rFonts w:ascii="黑体" w:eastAsia="黑体" w:hAnsi="黑体" w:cs="黑体"/>
          <w:szCs w:val="32"/>
        </w:rPr>
      </w:pPr>
    </w:p>
    <w:p w:rsidR="00C63C55" w:rsidRDefault="00FD6C8A">
      <w:pPr>
        <w:spacing w:line="540" w:lineRule="exact"/>
        <w:rPr>
          <w:rFonts w:ascii="黑体" w:eastAsia="黑体" w:hAnsi="黑体" w:cs="黑体"/>
          <w:szCs w:val="32"/>
        </w:rPr>
      </w:pPr>
      <w:r>
        <w:rPr>
          <w:rFonts w:ascii="黑体" w:eastAsia="黑体" w:hAnsi="黑体" w:cs="黑体" w:hint="eastAsia"/>
          <w:szCs w:val="32"/>
        </w:rPr>
        <w:t>附件</w:t>
      </w:r>
    </w:p>
    <w:p w:rsidR="00C63C55" w:rsidRDefault="00C63C55">
      <w:pPr>
        <w:spacing w:line="540" w:lineRule="exact"/>
        <w:rPr>
          <w:rFonts w:ascii="黑体" w:eastAsia="黑体" w:hAnsi="黑体" w:cs="黑体"/>
          <w:szCs w:val="32"/>
        </w:rPr>
      </w:pPr>
    </w:p>
    <w:p w:rsidR="00C63C55" w:rsidRDefault="00FD6C8A">
      <w:pPr>
        <w:spacing w:line="5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福建省开展补贴性免费培训学校名单</w:t>
      </w:r>
    </w:p>
    <w:p w:rsidR="00C63C55" w:rsidRDefault="00FD6C8A">
      <w:pPr>
        <w:spacing w:line="540" w:lineRule="exact"/>
        <w:jc w:val="center"/>
        <w:rPr>
          <w:rFonts w:ascii="楷体_GB2312" w:eastAsia="楷体_GB2312" w:hAnsi="楷体_GB2312" w:cs="楷体_GB2312"/>
          <w:szCs w:val="32"/>
        </w:rPr>
      </w:pPr>
      <w:r>
        <w:rPr>
          <w:rFonts w:ascii="楷体_GB2312" w:eastAsia="楷体_GB2312" w:hAnsi="楷体_GB2312" w:cs="楷体_GB2312" w:hint="eastAsia"/>
          <w:szCs w:val="32"/>
        </w:rPr>
        <w:t>（第二批）</w:t>
      </w:r>
    </w:p>
    <w:p w:rsidR="00C63C55" w:rsidRDefault="00C63C55">
      <w:pPr>
        <w:spacing w:line="540" w:lineRule="exact"/>
        <w:jc w:val="center"/>
        <w:rPr>
          <w:rFonts w:ascii="宋体" w:eastAsia="宋体" w:hAnsi="宋体" w:cs="宋体"/>
          <w:sz w:val="44"/>
          <w:szCs w:val="44"/>
        </w:rPr>
      </w:pPr>
    </w:p>
    <w:p w:rsidR="00C63C55" w:rsidRDefault="00FD6C8A">
      <w:pPr>
        <w:spacing w:line="560" w:lineRule="exact"/>
        <w:rPr>
          <w:rFonts w:ascii="黑体" w:eastAsia="黑体" w:hAnsi="黑体" w:cs="黑体"/>
          <w:szCs w:val="32"/>
        </w:rPr>
      </w:pPr>
      <w:r>
        <w:rPr>
          <w:rFonts w:ascii="黑体" w:eastAsia="黑体" w:hAnsi="黑体" w:cs="黑体" w:hint="eastAsia"/>
          <w:szCs w:val="32"/>
        </w:rPr>
        <w:t xml:space="preserve"> 教育系统：20家</w:t>
      </w:r>
    </w:p>
    <w:p w:rsidR="00C63C55" w:rsidRDefault="00FD6C8A">
      <w:pPr>
        <w:spacing w:line="560" w:lineRule="exact"/>
        <w:ind w:firstLineChars="200" w:firstLine="640"/>
        <w:rPr>
          <w:rFonts w:ascii="仿宋_GB2312" w:hAnsi="仿宋_GB2312" w:cs="仿宋_GB2312"/>
          <w:szCs w:val="32"/>
        </w:rPr>
      </w:pPr>
      <w:r>
        <w:rPr>
          <w:rFonts w:ascii="仿宋_GB2312" w:hAnsi="仿宋_GB2312" w:cs="仿宋_GB2312" w:hint="eastAsia"/>
          <w:szCs w:val="32"/>
        </w:rPr>
        <w:t>1.福建船政交通职业学院</w:t>
      </w:r>
    </w:p>
    <w:p w:rsidR="00C63C55" w:rsidRDefault="00FD6C8A">
      <w:pPr>
        <w:spacing w:line="560" w:lineRule="exact"/>
        <w:rPr>
          <w:rFonts w:ascii="仿宋_GB2312" w:hAnsi="仿宋_GB2312" w:cs="仿宋_GB2312"/>
          <w:szCs w:val="32"/>
        </w:rPr>
      </w:pPr>
      <w:r>
        <w:rPr>
          <w:rFonts w:ascii="仿宋_GB2312" w:hAnsi="仿宋_GB2312" w:cs="仿宋_GB2312" w:hint="eastAsia"/>
          <w:szCs w:val="32"/>
        </w:rPr>
        <w:t xml:space="preserve">    2.福建水利电力职业技术学院  </w:t>
      </w:r>
    </w:p>
    <w:p w:rsidR="00C63C55" w:rsidRDefault="00FD6C8A">
      <w:pPr>
        <w:spacing w:line="560" w:lineRule="exact"/>
        <w:ind w:firstLine="640"/>
        <w:rPr>
          <w:rFonts w:ascii="仿宋_GB2312" w:hAnsi="仿宋_GB2312" w:cs="仿宋_GB2312"/>
          <w:szCs w:val="32"/>
        </w:rPr>
      </w:pPr>
      <w:r>
        <w:rPr>
          <w:rFonts w:ascii="仿宋_GB2312" w:hAnsi="仿宋_GB2312" w:cs="仿宋_GB2312" w:hint="eastAsia"/>
          <w:szCs w:val="32"/>
        </w:rPr>
        <w:t xml:space="preserve">3.福建林业职业技术学院   </w:t>
      </w:r>
    </w:p>
    <w:p w:rsidR="00C63C55" w:rsidRDefault="00FD6C8A">
      <w:pPr>
        <w:spacing w:line="560" w:lineRule="exact"/>
        <w:ind w:firstLine="640"/>
        <w:rPr>
          <w:rFonts w:ascii="仿宋_GB2312" w:hAnsi="仿宋_GB2312" w:cs="仿宋_GB2312"/>
          <w:szCs w:val="32"/>
        </w:rPr>
      </w:pPr>
      <w:r>
        <w:rPr>
          <w:rFonts w:ascii="仿宋_GB2312" w:hAnsi="仿宋_GB2312" w:cs="仿宋_GB2312" w:hint="eastAsia"/>
          <w:szCs w:val="32"/>
        </w:rPr>
        <w:t>4.福建农业职业技术学院</w:t>
      </w:r>
    </w:p>
    <w:p w:rsidR="00C63C55" w:rsidRDefault="00FD6C8A">
      <w:pPr>
        <w:spacing w:line="560" w:lineRule="exact"/>
        <w:ind w:firstLine="640"/>
        <w:rPr>
          <w:rFonts w:ascii="仿宋_GB2312" w:hAnsi="仿宋_GB2312" w:cs="仿宋_GB2312"/>
          <w:szCs w:val="32"/>
        </w:rPr>
      </w:pPr>
      <w:r>
        <w:rPr>
          <w:rFonts w:ascii="仿宋_GB2312" w:hAnsi="仿宋_GB2312" w:cs="仿宋_GB2312" w:hint="eastAsia"/>
          <w:szCs w:val="32"/>
        </w:rPr>
        <w:t>5.福建卫生职业技术学院</w:t>
      </w:r>
    </w:p>
    <w:p w:rsidR="00C63C55" w:rsidRDefault="00FD6C8A">
      <w:pPr>
        <w:spacing w:line="560" w:lineRule="exact"/>
        <w:ind w:firstLine="640"/>
        <w:rPr>
          <w:rFonts w:ascii="仿宋_GB2312" w:hAnsi="仿宋_GB2312" w:cs="仿宋_GB2312"/>
          <w:szCs w:val="32"/>
        </w:rPr>
      </w:pPr>
      <w:r>
        <w:rPr>
          <w:rFonts w:ascii="仿宋_GB2312" w:hAnsi="仿宋_GB2312" w:cs="仿宋_GB2312" w:hint="eastAsia"/>
          <w:szCs w:val="32"/>
        </w:rPr>
        <w:t>6.福州职业技术学院</w:t>
      </w:r>
    </w:p>
    <w:p w:rsidR="00C63C55" w:rsidRDefault="00FD6C8A">
      <w:pPr>
        <w:spacing w:line="560" w:lineRule="exact"/>
        <w:ind w:firstLine="640"/>
        <w:rPr>
          <w:rFonts w:ascii="仿宋_GB2312" w:hAnsi="仿宋_GB2312" w:cs="仿宋_GB2312"/>
          <w:szCs w:val="32"/>
        </w:rPr>
      </w:pPr>
      <w:r>
        <w:rPr>
          <w:rFonts w:ascii="仿宋_GB2312" w:hAnsi="仿宋_GB2312" w:cs="仿宋_GB2312" w:hint="eastAsia"/>
          <w:szCs w:val="32"/>
        </w:rPr>
        <w:t>7.闽江师范高等专科学校</w:t>
      </w:r>
    </w:p>
    <w:p w:rsidR="00C63C55" w:rsidRDefault="00FD6C8A">
      <w:pPr>
        <w:spacing w:line="560" w:lineRule="exact"/>
        <w:ind w:firstLine="640"/>
        <w:rPr>
          <w:rFonts w:ascii="仿宋_GB2312" w:hAnsi="仿宋_GB2312" w:cs="仿宋_GB2312"/>
          <w:szCs w:val="32"/>
        </w:rPr>
      </w:pPr>
      <w:r>
        <w:rPr>
          <w:rFonts w:ascii="仿宋_GB2312" w:hAnsi="仿宋_GB2312" w:cs="仿宋_GB2312" w:hint="eastAsia"/>
          <w:szCs w:val="32"/>
        </w:rPr>
        <w:t>8.厦门海洋职业技术学院</w:t>
      </w:r>
    </w:p>
    <w:p w:rsidR="00C63C55" w:rsidRDefault="00FD6C8A">
      <w:pPr>
        <w:spacing w:line="560" w:lineRule="exact"/>
        <w:ind w:firstLine="640"/>
        <w:rPr>
          <w:rFonts w:ascii="仿宋_GB2312" w:hAnsi="仿宋_GB2312" w:cs="仿宋_GB2312"/>
          <w:szCs w:val="32"/>
        </w:rPr>
      </w:pPr>
      <w:r>
        <w:rPr>
          <w:rFonts w:ascii="仿宋_GB2312" w:hAnsi="仿宋_GB2312" w:cs="仿宋_GB2312" w:hint="eastAsia"/>
          <w:szCs w:val="32"/>
        </w:rPr>
        <w:t>9.厦门城市职业学院</w:t>
      </w:r>
    </w:p>
    <w:p w:rsidR="00C63C55" w:rsidRDefault="00FD6C8A">
      <w:pPr>
        <w:spacing w:line="560" w:lineRule="exact"/>
        <w:ind w:firstLine="640"/>
        <w:rPr>
          <w:rFonts w:ascii="仿宋_GB2312" w:hAnsi="仿宋_GB2312" w:cs="仿宋_GB2312"/>
          <w:szCs w:val="32"/>
        </w:rPr>
      </w:pPr>
      <w:r>
        <w:rPr>
          <w:rFonts w:ascii="仿宋_GB2312" w:hAnsi="仿宋_GB2312" w:cs="仿宋_GB2312" w:hint="eastAsia"/>
          <w:szCs w:val="32"/>
        </w:rPr>
        <w:t>10.漳州职业技术学院</w:t>
      </w:r>
    </w:p>
    <w:p w:rsidR="00C63C55" w:rsidRDefault="00FD6C8A">
      <w:pPr>
        <w:spacing w:line="560" w:lineRule="exact"/>
        <w:ind w:firstLine="640"/>
        <w:rPr>
          <w:rFonts w:ascii="仿宋_GB2312" w:hAnsi="仿宋_GB2312" w:cs="仿宋_GB2312"/>
          <w:szCs w:val="32"/>
        </w:rPr>
      </w:pPr>
      <w:r>
        <w:rPr>
          <w:rFonts w:ascii="仿宋_GB2312" w:hAnsi="仿宋_GB2312" w:cs="仿宋_GB2312" w:hint="eastAsia"/>
          <w:szCs w:val="32"/>
        </w:rPr>
        <w:t>11.漳州卫生职业学院</w:t>
      </w:r>
    </w:p>
    <w:p w:rsidR="00C63C55" w:rsidRDefault="00FD6C8A">
      <w:pPr>
        <w:spacing w:line="560" w:lineRule="exact"/>
        <w:ind w:firstLine="640"/>
        <w:rPr>
          <w:rFonts w:ascii="仿宋_GB2312" w:hAnsi="仿宋_GB2312" w:cs="仿宋_GB2312"/>
          <w:szCs w:val="32"/>
        </w:rPr>
      </w:pPr>
      <w:r>
        <w:rPr>
          <w:rFonts w:ascii="仿宋_GB2312" w:hAnsi="仿宋_GB2312" w:cs="仿宋_GB2312" w:hint="eastAsia"/>
          <w:szCs w:val="32"/>
        </w:rPr>
        <w:t>12.泉州医学高等专科学校</w:t>
      </w:r>
    </w:p>
    <w:p w:rsidR="00C63C55" w:rsidRDefault="00FD6C8A">
      <w:pPr>
        <w:spacing w:line="560" w:lineRule="exact"/>
        <w:ind w:firstLine="640"/>
        <w:rPr>
          <w:rFonts w:ascii="仿宋_GB2312" w:hAnsi="仿宋_GB2312" w:cs="仿宋_GB2312"/>
          <w:szCs w:val="32"/>
        </w:rPr>
      </w:pPr>
      <w:r>
        <w:rPr>
          <w:rFonts w:ascii="仿宋_GB2312" w:hAnsi="仿宋_GB2312" w:cs="仿宋_GB2312" w:hint="eastAsia"/>
          <w:szCs w:val="32"/>
        </w:rPr>
        <w:t>13.泉州幼儿师范高等专科学校</w:t>
      </w:r>
    </w:p>
    <w:p w:rsidR="00C63C55" w:rsidRDefault="00FD6C8A">
      <w:pPr>
        <w:spacing w:line="560" w:lineRule="exact"/>
        <w:ind w:firstLine="640"/>
        <w:rPr>
          <w:rFonts w:ascii="仿宋_GB2312" w:hAnsi="仿宋_GB2312" w:cs="仿宋_GB2312"/>
          <w:szCs w:val="32"/>
        </w:rPr>
      </w:pPr>
      <w:r>
        <w:rPr>
          <w:rFonts w:ascii="仿宋_GB2312" w:hAnsi="仿宋_GB2312" w:cs="仿宋_GB2312" w:hint="eastAsia"/>
          <w:szCs w:val="32"/>
        </w:rPr>
        <w:t>14.黎明职业大学</w:t>
      </w:r>
    </w:p>
    <w:p w:rsidR="00C63C55" w:rsidRDefault="00FD6C8A">
      <w:pPr>
        <w:spacing w:line="560" w:lineRule="exact"/>
        <w:ind w:firstLine="640"/>
        <w:rPr>
          <w:rFonts w:ascii="仿宋_GB2312" w:hAnsi="仿宋_GB2312" w:cs="仿宋_GB2312"/>
          <w:szCs w:val="32"/>
        </w:rPr>
      </w:pPr>
      <w:r>
        <w:rPr>
          <w:rFonts w:ascii="仿宋" w:eastAsia="仿宋" w:hAnsi="仿宋" w:cs="仿宋" w:hint="eastAsia"/>
          <w:szCs w:val="32"/>
        </w:rPr>
        <w:t>15</w:t>
      </w:r>
      <w:r>
        <w:rPr>
          <w:rFonts w:ascii="仿宋_GB2312" w:hAnsi="仿宋_GB2312" w:cs="仿宋_GB2312" w:hint="eastAsia"/>
          <w:szCs w:val="32"/>
        </w:rPr>
        <w:t>.湄洲湾职业技术学院</w:t>
      </w:r>
    </w:p>
    <w:p w:rsidR="00C63C55" w:rsidRDefault="00FD6C8A">
      <w:pPr>
        <w:spacing w:line="560" w:lineRule="exact"/>
        <w:ind w:firstLine="640"/>
        <w:rPr>
          <w:rFonts w:ascii="仿宋_GB2312" w:hAnsi="仿宋_GB2312" w:cs="仿宋_GB2312"/>
          <w:szCs w:val="32"/>
        </w:rPr>
      </w:pPr>
      <w:r>
        <w:rPr>
          <w:rFonts w:ascii="仿宋_GB2312" w:hAnsi="仿宋_GB2312" w:cs="仿宋_GB2312" w:hint="eastAsia"/>
          <w:szCs w:val="32"/>
        </w:rPr>
        <w:t>16.三明医学科技职业学院</w:t>
      </w:r>
    </w:p>
    <w:p w:rsidR="00C63C55" w:rsidRDefault="00FD6C8A">
      <w:pPr>
        <w:spacing w:line="560" w:lineRule="exact"/>
        <w:ind w:firstLine="640"/>
        <w:rPr>
          <w:rFonts w:ascii="仿宋_GB2312" w:hAnsi="仿宋_GB2312" w:cs="仿宋_GB2312"/>
          <w:szCs w:val="32"/>
        </w:rPr>
      </w:pPr>
      <w:r>
        <w:rPr>
          <w:rFonts w:ascii="仿宋_GB2312" w:hAnsi="仿宋_GB2312" w:cs="仿宋_GB2312" w:hint="eastAsia"/>
          <w:szCs w:val="32"/>
        </w:rPr>
        <w:t>17.闽西职业技术学院</w:t>
      </w:r>
    </w:p>
    <w:p w:rsidR="00C63C55" w:rsidRDefault="00FD6C8A">
      <w:pPr>
        <w:spacing w:line="560" w:lineRule="exact"/>
        <w:ind w:firstLine="640"/>
        <w:rPr>
          <w:rFonts w:ascii="仿宋_GB2312" w:hAnsi="仿宋_GB2312" w:cs="仿宋_GB2312"/>
          <w:szCs w:val="32"/>
        </w:rPr>
      </w:pPr>
      <w:r>
        <w:rPr>
          <w:rFonts w:ascii="仿宋_GB2312" w:hAnsi="仿宋_GB2312" w:cs="仿宋_GB2312" w:hint="eastAsia"/>
          <w:szCs w:val="32"/>
        </w:rPr>
        <w:t>18.福建教育学院</w:t>
      </w:r>
    </w:p>
    <w:p w:rsidR="00C63C55" w:rsidRDefault="00FD6C8A">
      <w:pPr>
        <w:spacing w:line="560" w:lineRule="exact"/>
        <w:ind w:firstLine="640"/>
        <w:rPr>
          <w:rFonts w:ascii="仿宋_GB2312" w:hAnsi="仿宋_GB2312" w:cs="仿宋_GB2312"/>
          <w:szCs w:val="32"/>
        </w:rPr>
      </w:pPr>
      <w:r>
        <w:rPr>
          <w:rFonts w:ascii="仿宋_GB2312" w:hAnsi="仿宋_GB2312" w:cs="仿宋_GB2312" w:hint="eastAsia"/>
          <w:szCs w:val="32"/>
        </w:rPr>
        <w:t>19.福建省广播电视大学（全省电大系统）</w:t>
      </w:r>
    </w:p>
    <w:p w:rsidR="00C63C55" w:rsidRDefault="00FD6C8A">
      <w:pPr>
        <w:spacing w:line="560" w:lineRule="exact"/>
        <w:ind w:firstLine="640"/>
        <w:rPr>
          <w:rFonts w:ascii="仿宋_GB2312" w:hAnsi="仿宋_GB2312" w:cs="仿宋_GB2312"/>
          <w:szCs w:val="32"/>
        </w:rPr>
      </w:pPr>
      <w:r>
        <w:rPr>
          <w:rFonts w:ascii="仿宋_GB2312" w:hAnsi="仿宋_GB2312" w:cs="仿宋_GB2312" w:hint="eastAsia"/>
          <w:szCs w:val="32"/>
        </w:rPr>
        <w:t>20.福建警察学院</w:t>
      </w:r>
    </w:p>
    <w:p w:rsidR="00C63C55" w:rsidRDefault="00C63C55">
      <w:pPr>
        <w:spacing w:line="560" w:lineRule="exact"/>
        <w:ind w:firstLine="640"/>
        <w:rPr>
          <w:rFonts w:ascii="黑体" w:eastAsia="黑体" w:hAnsi="黑体" w:cs="黑体"/>
          <w:szCs w:val="32"/>
        </w:rPr>
      </w:pPr>
    </w:p>
    <w:p w:rsidR="00C63C55" w:rsidRDefault="00FD6C8A">
      <w:pPr>
        <w:spacing w:line="560" w:lineRule="exact"/>
        <w:ind w:firstLine="640"/>
        <w:rPr>
          <w:rFonts w:ascii="黑体" w:eastAsia="黑体" w:hAnsi="黑体" w:cs="黑体"/>
          <w:szCs w:val="32"/>
        </w:rPr>
      </w:pPr>
      <w:r>
        <w:rPr>
          <w:rFonts w:ascii="黑体" w:eastAsia="黑体" w:hAnsi="黑体" w:cs="黑体" w:hint="eastAsia"/>
          <w:szCs w:val="32"/>
        </w:rPr>
        <w:lastRenderedPageBreak/>
        <w:t>人社系统：2家</w:t>
      </w:r>
    </w:p>
    <w:p w:rsidR="00C63C55" w:rsidRDefault="00FD6C8A">
      <w:pPr>
        <w:spacing w:line="560" w:lineRule="exact"/>
        <w:ind w:firstLine="640"/>
        <w:rPr>
          <w:rFonts w:ascii="仿宋_GB2312" w:hAnsi="仿宋_GB2312" w:cs="仿宋_GB2312"/>
          <w:szCs w:val="32"/>
        </w:rPr>
      </w:pPr>
      <w:r>
        <w:rPr>
          <w:rFonts w:ascii="仿宋_GB2312" w:hAnsi="仿宋_GB2312" w:cs="仿宋_GB2312" w:hint="eastAsia"/>
          <w:szCs w:val="32"/>
        </w:rPr>
        <w:t>21.福建省第二高级技工学校</w:t>
      </w:r>
    </w:p>
    <w:p w:rsidR="00C63C55" w:rsidRDefault="00FD6C8A">
      <w:pPr>
        <w:spacing w:line="560" w:lineRule="exact"/>
        <w:ind w:firstLine="640"/>
        <w:rPr>
          <w:rFonts w:ascii="仿宋_GB2312" w:hAnsi="仿宋_GB2312" w:cs="仿宋_GB2312"/>
          <w:szCs w:val="32"/>
        </w:rPr>
      </w:pPr>
      <w:r>
        <w:rPr>
          <w:rFonts w:ascii="仿宋_GB2312" w:hAnsi="仿宋_GB2312" w:cs="仿宋_GB2312" w:hint="eastAsia"/>
          <w:szCs w:val="32"/>
        </w:rPr>
        <w:t>22.南平市闽北高级技工学校</w:t>
      </w:r>
    </w:p>
    <w:p w:rsidR="00C63C55" w:rsidRDefault="00C63C55">
      <w:bookmarkStart w:id="0" w:name="_GoBack"/>
      <w:bookmarkEnd w:id="0"/>
    </w:p>
    <w:sectPr w:rsidR="00C63C55" w:rsidSect="00C63C5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7E15" w:rsidRDefault="00917E15" w:rsidP="001B68AF">
      <w:r>
        <w:separator/>
      </w:r>
    </w:p>
  </w:endnote>
  <w:endnote w:type="continuationSeparator" w:id="1">
    <w:p w:rsidR="00917E15" w:rsidRDefault="00917E15" w:rsidP="001B68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auto"/>
    <w:pitch w:val="default"/>
    <w:sig w:usb0="00000000"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黑体">
    <w:altName w:val="Arial Unicode MS"/>
    <w:panose1 w:val="02010600030101010101"/>
    <w:charset w:val="86"/>
    <w:family w:val="modern"/>
    <w:notTrueType/>
    <w:pitch w:val="fixed"/>
    <w:sig w:usb0="00000000"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7E15" w:rsidRDefault="00917E15" w:rsidP="001B68AF">
      <w:r>
        <w:separator/>
      </w:r>
    </w:p>
  </w:footnote>
  <w:footnote w:type="continuationSeparator" w:id="1">
    <w:p w:rsidR="00917E15" w:rsidRDefault="00917E15" w:rsidP="001B68A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620B05FF"/>
    <w:rsid w:val="001B68AF"/>
    <w:rsid w:val="00710AE3"/>
    <w:rsid w:val="008C0FE8"/>
    <w:rsid w:val="00917E15"/>
    <w:rsid w:val="00C63C55"/>
    <w:rsid w:val="00D2364F"/>
    <w:rsid w:val="00FD6C8A"/>
    <w:rsid w:val="620B05F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63C55"/>
    <w:pPr>
      <w:widowControl w:val="0"/>
      <w:jc w:val="both"/>
    </w:pPr>
    <w:rPr>
      <w:rFonts w:eastAsia="仿宋_GB2312"/>
      <w:kern w:val="2"/>
      <w:sz w:val="32"/>
      <w:szCs w:val="24"/>
    </w:rPr>
  </w:style>
  <w:style w:type="paragraph" w:styleId="3">
    <w:name w:val="heading 3"/>
    <w:basedOn w:val="a"/>
    <w:link w:val="3Char"/>
    <w:uiPriority w:val="9"/>
    <w:qFormat/>
    <w:rsid w:val="001B68AF"/>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1B68A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1B68AF"/>
    <w:rPr>
      <w:rFonts w:eastAsia="仿宋_GB2312"/>
      <w:kern w:val="2"/>
      <w:sz w:val="18"/>
      <w:szCs w:val="18"/>
    </w:rPr>
  </w:style>
  <w:style w:type="paragraph" w:styleId="a4">
    <w:name w:val="footer"/>
    <w:basedOn w:val="a"/>
    <w:link w:val="Char0"/>
    <w:rsid w:val="001B68AF"/>
    <w:pPr>
      <w:tabs>
        <w:tab w:val="center" w:pos="4153"/>
        <w:tab w:val="right" w:pos="8306"/>
      </w:tabs>
      <w:snapToGrid w:val="0"/>
      <w:jc w:val="left"/>
    </w:pPr>
    <w:rPr>
      <w:sz w:val="18"/>
      <w:szCs w:val="18"/>
    </w:rPr>
  </w:style>
  <w:style w:type="character" w:customStyle="1" w:styleId="Char0">
    <w:name w:val="页脚 Char"/>
    <w:basedOn w:val="a0"/>
    <w:link w:val="a4"/>
    <w:rsid w:val="001B68AF"/>
    <w:rPr>
      <w:rFonts w:eastAsia="仿宋_GB2312"/>
      <w:kern w:val="2"/>
      <w:sz w:val="18"/>
      <w:szCs w:val="18"/>
    </w:rPr>
  </w:style>
  <w:style w:type="character" w:customStyle="1" w:styleId="3Char">
    <w:name w:val="标题 3 Char"/>
    <w:basedOn w:val="a0"/>
    <w:link w:val="3"/>
    <w:uiPriority w:val="9"/>
    <w:rsid w:val="001B68AF"/>
    <w:rPr>
      <w:rFonts w:ascii="宋体" w:hAnsi="宋体" w:cs="宋体"/>
      <w:b/>
      <w:bCs/>
      <w:sz w:val="27"/>
      <w:szCs w:val="27"/>
    </w:rPr>
  </w:style>
  <w:style w:type="paragraph" w:styleId="a5">
    <w:name w:val="Normal (Web)"/>
    <w:basedOn w:val="a"/>
    <w:uiPriority w:val="99"/>
    <w:unhideWhenUsed/>
    <w:rsid w:val="001B68AF"/>
    <w:pPr>
      <w:widowControl/>
      <w:spacing w:before="100" w:beforeAutospacing="1" w:after="100" w:afterAutospacing="1"/>
      <w:jc w:val="left"/>
    </w:pPr>
    <w:rPr>
      <w:rFonts w:ascii="宋体" w:eastAsia="宋体" w:hAnsi="宋体" w:cs="宋体"/>
      <w:kern w:val="0"/>
      <w:sz w:val="24"/>
    </w:rPr>
  </w:style>
  <w:style w:type="character" w:styleId="a6">
    <w:name w:val="Hyperlink"/>
    <w:basedOn w:val="a0"/>
    <w:uiPriority w:val="99"/>
    <w:unhideWhenUsed/>
    <w:rsid w:val="001B68AF"/>
    <w:rPr>
      <w:color w:val="0000FF"/>
      <w:u w:val="single"/>
    </w:rPr>
  </w:style>
</w:styles>
</file>

<file path=word/webSettings.xml><?xml version="1.0" encoding="utf-8"?>
<w:webSettings xmlns:r="http://schemas.openxmlformats.org/officeDocument/2006/relationships" xmlns:w="http://schemas.openxmlformats.org/wordprocessingml/2006/main">
  <w:divs>
    <w:div w:id="1358503090">
      <w:bodyDiv w:val="1"/>
      <w:marLeft w:val="0"/>
      <w:marRight w:val="0"/>
      <w:marTop w:val="0"/>
      <w:marBottom w:val="0"/>
      <w:divBdr>
        <w:top w:val="none" w:sz="0" w:space="0" w:color="auto"/>
        <w:left w:val="none" w:sz="0" w:space="0" w:color="auto"/>
        <w:bottom w:val="none" w:sz="0" w:space="0" w:color="auto"/>
        <w:right w:val="none" w:sz="0" w:space="0" w:color="auto"/>
      </w:divBdr>
      <w:divsChild>
        <w:div w:id="1512261304">
          <w:marLeft w:val="0"/>
          <w:marRight w:val="0"/>
          <w:marTop w:val="0"/>
          <w:marBottom w:val="0"/>
          <w:divBdr>
            <w:top w:val="none" w:sz="0" w:space="0" w:color="auto"/>
            <w:left w:val="none" w:sz="0" w:space="0" w:color="auto"/>
            <w:bottom w:val="dashed" w:sz="6" w:space="23" w:color="999999"/>
            <w:right w:val="none" w:sz="0" w:space="0" w:color="auto"/>
          </w:divBdr>
        </w:div>
        <w:div w:id="714041106">
          <w:marLeft w:val="0"/>
          <w:marRight w:val="0"/>
          <w:marTop w:val="270"/>
          <w:marBottom w:val="0"/>
          <w:divBdr>
            <w:top w:val="none" w:sz="0" w:space="0" w:color="auto"/>
            <w:left w:val="none" w:sz="0" w:space="0" w:color="auto"/>
            <w:bottom w:val="none" w:sz="0" w:space="0" w:color="auto"/>
            <w:right w:val="none" w:sz="0" w:space="0" w:color="auto"/>
          </w:divBdr>
        </w:div>
        <w:div w:id="1589926847">
          <w:marLeft w:val="0"/>
          <w:marRight w:val="0"/>
          <w:marTop w:val="300"/>
          <w:marBottom w:val="0"/>
          <w:divBdr>
            <w:top w:val="none" w:sz="0" w:space="0" w:color="auto"/>
            <w:left w:val="none" w:sz="0" w:space="0" w:color="auto"/>
            <w:bottom w:val="none" w:sz="0" w:space="0" w:color="auto"/>
            <w:right w:val="none" w:sz="0" w:space="0" w:color="auto"/>
          </w:divBdr>
          <w:divsChild>
            <w:div w:id="283192866">
              <w:marLeft w:val="0"/>
              <w:marRight w:val="0"/>
              <w:marTop w:val="0"/>
              <w:marBottom w:val="0"/>
              <w:divBdr>
                <w:top w:val="none" w:sz="0" w:space="0" w:color="auto"/>
                <w:left w:val="none" w:sz="0" w:space="0" w:color="auto"/>
                <w:bottom w:val="none" w:sz="0" w:space="0" w:color="auto"/>
                <w:right w:val="none" w:sz="0" w:space="0" w:color="auto"/>
              </w:divBdr>
              <w:divsChild>
                <w:div w:id="1006397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Pages>
  <Words>255</Words>
  <Characters>1457</Characters>
  <Application>Microsoft Office Word</Application>
  <DocSecurity>0</DocSecurity>
  <Lines>12</Lines>
  <Paragraphs>3</Paragraphs>
  <ScaleCrop>false</ScaleCrop>
  <Company>Microsoft</Company>
  <LinksUpToDate>false</LinksUpToDate>
  <CharactersWithSpaces>1709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MM</cp:lastModifiedBy>
  <cp:revision>4</cp:revision>
  <cp:lastPrinted>2020-12-01T08:22:00Z</cp:lastPrinted>
  <dcterms:created xsi:type="dcterms:W3CDTF">2020-12-01T00:38:00Z</dcterms:created>
  <dcterms:modified xsi:type="dcterms:W3CDTF">2020-12-01T08:42:00Z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2052-10.8.0.6501</vt:lpwstr>
  </property>
</Properties>
</file>